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rPr>
          <w:rFonts w:hint="eastAsia" w:ascii="Arial" w:hAnsi="Arial" w:eastAsia="宋体"/>
          <w:b/>
          <w:bCs/>
          <w:i/>
          <w:sz w:val="24"/>
          <w:szCs w:val="24"/>
          <w:lang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20</w:t>
      </w:r>
      <w:r>
        <w:rPr>
          <w:rFonts w:ascii="Arial" w:hAnsi="Arial" w:eastAsia="MS Mincho"/>
          <w:b/>
          <w:bCs/>
          <w:sz w:val="24"/>
          <w:szCs w:val="24"/>
        </w:rPr>
        <w:tab/>
      </w:r>
      <w:r>
        <w:rPr>
          <w:rFonts w:hint="eastAsia" w:ascii="Arial" w:hAnsi="Arial" w:eastAsia="MS Mincho"/>
          <w:b/>
          <w:bCs/>
          <w:sz w:val="24"/>
          <w:szCs w:val="24"/>
        </w:rPr>
        <w:t>R3-233218</w:t>
      </w:r>
      <w:bookmarkStart w:id="2" w:name="_GoBack"/>
      <w:bookmarkEnd w:id="2"/>
    </w:p>
    <w:p>
      <w:pPr>
        <w:widowControl w:val="0"/>
        <w:tabs>
          <w:tab w:val="right" w:pos="9639"/>
        </w:tabs>
        <w:rPr>
          <w:rFonts w:ascii="Arial" w:hAnsi="Arial" w:cs="Arial"/>
          <w:b/>
          <w:color w:val="000000"/>
          <w:sz w:val="24"/>
          <w:szCs w:val="24"/>
        </w:rPr>
      </w:pPr>
      <w:r>
        <w:rPr>
          <w:rFonts w:hint="eastAsia" w:ascii="Arial" w:hAnsi="Arial" w:cs="Arial"/>
          <w:b/>
          <w:color w:val="000000"/>
          <w:sz w:val="24"/>
          <w:szCs w:val="24"/>
        </w:rPr>
        <w:t xml:space="preserve">Incheon, Korea,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22nd</w:t>
      </w:r>
      <w:r>
        <w:rPr>
          <w:rFonts w:hint="eastAsia" w:ascii="Arial" w:hAnsi="Arial" w:cs="Arial"/>
          <w:b/>
          <w:color w:val="000000"/>
          <w:sz w:val="24"/>
          <w:szCs w:val="24"/>
        </w:rPr>
        <w:t xml:space="preserve"> - </w:t>
      </w:r>
      <w:r>
        <w:rPr>
          <w:rFonts w:hint="eastAsia" w:ascii="Arial" w:hAnsi="Arial" w:cs="Arial"/>
          <w:b/>
          <w:color w:val="000000"/>
          <w:sz w:val="24"/>
          <w:szCs w:val="24"/>
          <w:lang w:val="en-US" w:eastAsia="zh-CN"/>
        </w:rPr>
        <w:t>May</w:t>
      </w:r>
      <w:r>
        <w:rPr>
          <w:rFonts w:hint="eastAsia" w:ascii="Arial" w:hAnsi="Arial" w:cs="Arial"/>
          <w:b/>
          <w:color w:val="000000"/>
          <w:sz w:val="24"/>
          <w:szCs w:val="24"/>
        </w:rPr>
        <w:t xml:space="preserve"> 26th, 2023</w:t>
      </w:r>
      <w:r>
        <w:rPr>
          <w:i/>
          <w:lang w:eastAsia="ko-KR"/>
        </w:rPr>
        <w:tab/>
      </w:r>
      <w:r>
        <w:rPr>
          <w:i/>
          <w:iCs/>
          <w:sz w:val="11"/>
          <w:szCs w:val="11"/>
          <w:lang w:eastAsia="ko-KR"/>
        </w:rPr>
        <w:t xml:space="preserve"> </w:t>
      </w:r>
    </w:p>
    <w:p>
      <w:pPr>
        <w:pStyle w:val="91"/>
        <w:rPr>
          <w:rFonts w:cs="Arial"/>
          <w:b/>
          <w:bCs/>
          <w:sz w:val="24"/>
          <w:lang w:val="en-US"/>
        </w:rPr>
      </w:pPr>
    </w:p>
    <w:p>
      <w:pPr>
        <w:pStyle w:val="91"/>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12.3</w:t>
      </w:r>
    </w:p>
    <w:p>
      <w:pPr>
        <w:pStyle w:val="91"/>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rPr>
          <w:rFonts w:ascii="Arial" w:hAnsi="Arial" w:cs="Arial"/>
          <w:b/>
          <w:sz w:val="24"/>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w:t>
      </w:r>
      <w:r>
        <w:rPr>
          <w:rFonts w:hint="eastAsia" w:ascii="Arial" w:hAnsi="Arial" w:cs="Arial"/>
          <w:b/>
          <w:bCs/>
          <w:sz w:val="24"/>
          <w:lang w:val="en-US" w:eastAsia="zh-CN"/>
        </w:rPr>
        <w:t>MDT enhancement for c</w:t>
      </w:r>
      <w:r>
        <w:rPr>
          <w:rFonts w:hint="eastAsia" w:ascii="Arial" w:hAnsi="Arial" w:cs="Arial"/>
          <w:b/>
          <w:bCs/>
          <w:sz w:val="24"/>
        </w:rPr>
        <w:t>ontinuous MDT collection</w:t>
      </w:r>
    </w:p>
    <w:p>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eastAsia="宋体" w:cs="Times New Roman"/>
          <w:szCs w:val="20"/>
        </w:rPr>
        <w:t>During the last RAN3 #11</w:t>
      </w:r>
      <w:r>
        <w:rPr>
          <w:rFonts w:hint="eastAsia" w:eastAsia="宋体" w:cs="Times New Roman"/>
          <w:szCs w:val="20"/>
        </w:rPr>
        <w:t>9</w:t>
      </w:r>
      <w:r>
        <w:rPr>
          <w:rFonts w:hint="eastAsia" w:eastAsia="宋体" w:cs="Times New Roman"/>
          <w:szCs w:val="20"/>
          <w:lang w:val="en-US" w:eastAsia="zh-CN"/>
        </w:rPr>
        <w:t>bis</w:t>
      </w:r>
      <w:r>
        <w:rPr>
          <w:rFonts w:eastAsia="宋体" w:cs="Times New Roman"/>
          <w:szCs w:val="20"/>
        </w:rPr>
        <w:t xml:space="preserve"> meeting, the following agreements and FFS were captured:</w:t>
      </w:r>
    </w:p>
    <w:p>
      <w:pPr>
        <w:rPr>
          <w:rFonts w:ascii="Calibri" w:hAnsi="Calibri" w:cs="Calibri"/>
          <w:b/>
          <w:color w:val="008000"/>
          <w:sz w:val="18"/>
          <w:lang w:eastAsia="en-US"/>
        </w:rPr>
      </w:pPr>
      <w:r>
        <w:rPr>
          <w:rFonts w:ascii="Calibri" w:hAnsi="Calibri" w:cs="Calibri"/>
          <w:b/>
          <w:color w:val="008000"/>
          <w:sz w:val="18"/>
          <w:lang w:eastAsia="en-US"/>
        </w:rPr>
        <w:t>The existing MDT framework is used as baseline for data collection from the UE.</w:t>
      </w:r>
    </w:p>
    <w:p>
      <w:pPr>
        <w:rPr>
          <w:rFonts w:ascii="Calibri" w:hAnsi="Calibri" w:cs="Calibri"/>
          <w:b/>
          <w:color w:val="008000"/>
          <w:sz w:val="18"/>
          <w:lang w:eastAsia="en-US"/>
        </w:rPr>
      </w:pPr>
      <w:r>
        <w:rPr>
          <w:rFonts w:ascii="Calibri" w:hAnsi="Calibri" w:cs="Calibri"/>
          <w:b/>
          <w:color w:val="008000"/>
          <w:sz w:val="18"/>
          <w:lang w:eastAsia="en-US"/>
        </w:rPr>
        <w:t>Continuous collection of MDT traces is beneficial only for AI/ML training in OAM. Continuous MDT collection is to enable the continuous collection of MDT data from the same UE across RRC state changes (RRC_Connected, RRC_Idle, RRC_Inactive).</w:t>
      </w:r>
    </w:p>
    <w:p>
      <w:pPr>
        <w:rPr>
          <w:rFonts w:ascii="Calibri" w:hAnsi="Calibri" w:cs="Calibri"/>
          <w:b/>
          <w:color w:val="0000FF"/>
          <w:sz w:val="18"/>
          <w:lang w:eastAsia="en-US"/>
        </w:rPr>
      </w:pPr>
      <w:r>
        <w:rPr>
          <w:rFonts w:ascii="Calibri" w:hAnsi="Calibri" w:cs="Calibri"/>
          <w:b/>
          <w:color w:val="0000FF"/>
          <w:sz w:val="18"/>
          <w:lang w:eastAsia="en-US"/>
        </w:rPr>
        <w:t>FFS on using s-based MDT, m-based MDT or both of them for data collection from the UE.</w:t>
      </w:r>
    </w:p>
    <w:p>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FFS on determining the need for continuous MDT support for the Rel.18 use cases.</w:t>
      </w:r>
    </w:p>
    <w:p>
      <w:pPr>
        <w:widowControl w:val="0"/>
        <w:rPr>
          <w:rFonts w:ascii="Calibri" w:hAnsi="Calibri" w:cs="Calibri"/>
          <w:b/>
          <w:color w:val="0000FF"/>
          <w:sz w:val="18"/>
          <w:lang w:eastAsia="en-US"/>
        </w:rPr>
      </w:pPr>
      <w:r>
        <w:rPr>
          <w:rFonts w:ascii="Calibri" w:hAnsi="Calibri" w:cs="Calibri"/>
          <w:b/>
          <w:color w:val="0000FF"/>
          <w:sz w:val="18"/>
          <w:lang w:eastAsia="en-US"/>
        </w:rPr>
        <w:t>FFS on the solutions to support continuous MDT collection:</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w:t>
      </w:r>
      <w:r>
        <w:rPr>
          <w:rFonts w:hint="eastAsia" w:eastAsia="宋体" w:cs="Times New Roman"/>
          <w:szCs w:val="20"/>
          <w:lang w:val="en-US" w:eastAsia="zh-CN"/>
        </w:rPr>
        <w:t>whether the existing MDT mechanism needs to be enhanced</w:t>
      </w:r>
      <w:r>
        <w:rPr>
          <w:rFonts w:eastAsia="宋体" w:cs="Times New Roman"/>
          <w:szCs w:val="20"/>
        </w:rPr>
        <w:t>.</w:t>
      </w:r>
    </w:p>
    <w:p>
      <w:pPr>
        <w:pStyle w:val="2"/>
      </w:pPr>
      <w:r>
        <w:rPr>
          <w:rFonts w:eastAsia="宋体"/>
          <w:lang w:val="en-US" w:eastAsia="zh-CN"/>
        </w:rPr>
        <w:t>Discussion</w:t>
      </w:r>
    </w:p>
    <w:p>
      <w:pPr>
        <w:tabs>
          <w:tab w:val="left" w:pos="1985"/>
        </w:tabs>
        <w:jc w:val="both"/>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In RAN3#119bis meeting, RAN3 has achieved an agreement about what</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s the continuous MDT. The continuous MDT collection is the collection of existing MDT traces from the same UE across RRC state (RRC_Connected, RRC_Idle, RRC_Inactive). If only collected MDT data across RRC state, the existing mechanism can support the continuous MDT collection. </w:t>
      </w:r>
    </w:p>
    <w:p>
      <w:pPr>
        <w:tabs>
          <w:tab w:val="left" w:pos="1985"/>
        </w:tabs>
        <w:jc w:val="both"/>
        <w:rPr>
          <w:rFonts w:hint="eastAsia"/>
          <w:color w:val="000000" w:themeColor="text1"/>
          <w:lang w:val="en-US" w:eastAsia="zh-CN"/>
          <w14:textFill>
            <w14:solidFill>
              <w14:schemeClr w14:val="tx1"/>
            </w14:solidFill>
          </w14:textFill>
        </w:rPr>
      </w:pPr>
    </w:p>
    <w:p>
      <w:pPr>
        <w:tabs>
          <w:tab w:val="left" w:pos="1985"/>
        </w:tabs>
        <w:jc w:val="both"/>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For signaling based MDT:</w:t>
      </w:r>
    </w:p>
    <w:p>
      <w:pPr>
        <w:tabs>
          <w:tab w:val="left" w:pos="1985"/>
        </w:tabs>
        <w:jc w:val="both"/>
        <w:rPr>
          <w:rFonts w:hint="eastAsia"/>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 xml:space="preserve">If the selected UE support both logged MDT and immediate MDT, the OAM can configure the selected UE with </w:t>
      </w:r>
      <w:r>
        <w:rPr>
          <w:lang w:eastAsia="zh-CN"/>
        </w:rPr>
        <w:t>immediate MDT and logged MDT</w:t>
      </w:r>
      <w:r>
        <w:rPr>
          <w:rFonts w:hint="eastAsia"/>
          <w:lang w:val="en-US" w:eastAsia="zh-CN"/>
        </w:rPr>
        <w:t xml:space="preserve"> configuration. Although in TS 32.422, the immediate MDT and logged MDT cannot be configured within the same trace session, the configurations can be configured to the selected UE with different trace session. </w:t>
      </w:r>
      <w:r>
        <w:rPr>
          <w:rFonts w:hint="eastAsia" w:eastAsia="等线" w:cs="Times New Roman"/>
          <w:sz w:val="20"/>
          <w:szCs w:val="20"/>
          <w:lang w:val="en-US" w:eastAsia="zh-CN" w:bidi="ar"/>
        </w:rPr>
        <w:t>When the selected UE moves to connected state, the OAM configure the selected UE with immediate MDT configuration. The MDT measurement can be reported when it</w:t>
      </w:r>
      <w:r>
        <w:rPr>
          <w:rFonts w:hint="default" w:eastAsia="等线" w:cs="Times New Roman"/>
          <w:sz w:val="20"/>
          <w:szCs w:val="20"/>
          <w:lang w:val="en-US" w:eastAsia="zh-CN" w:bidi="ar"/>
        </w:rPr>
        <w:t>’</w:t>
      </w:r>
      <w:r>
        <w:rPr>
          <w:rFonts w:hint="eastAsia" w:eastAsia="等线" w:cs="Times New Roman"/>
          <w:sz w:val="20"/>
          <w:szCs w:val="20"/>
          <w:lang w:val="en-US" w:eastAsia="zh-CN" w:bidi="ar"/>
        </w:rPr>
        <w:t xml:space="preserve">s available. Before UE move to idle/inactive state, OAM can configure UE with logged MDT configuration. The selected UE can perform logged MDT measurement after it moves to idle/inactive state, and report the logged MDT measurement when it moves to the connected state. When the selected UE moves from idle to connected state, the connected gNB may different from the last serving gNB, but as the </w:t>
      </w:r>
      <w:r>
        <w:rPr>
          <w:rFonts w:hint="eastAsia"/>
          <w:color w:val="000000" w:themeColor="text1"/>
          <w:lang w:val="en-US" w:eastAsia="zh-CN"/>
          <w14:textFill>
            <w14:solidFill>
              <w14:schemeClr w14:val="tx1"/>
            </w14:solidFill>
          </w14:textFill>
        </w:rPr>
        <w:t xml:space="preserve"> network know which UE is selected to be configured for continuous MDT collection, when UE moves from idle to connected state and access the network, the network can configure the selected UE with immediate MDT configuration even if the UE moves to another gNB. </w:t>
      </w:r>
      <w:r>
        <w:rPr>
          <w:rFonts w:hint="eastAsia" w:eastAsia="等线" w:cs="Times New Roman"/>
          <w:sz w:val="20"/>
          <w:szCs w:val="20"/>
          <w:lang w:val="en-US" w:eastAsia="zh-CN" w:bidi="ar"/>
        </w:rPr>
        <w:t>The continuous MDT data can be collected across RRC state in this way.</w:t>
      </w:r>
    </w:p>
    <w:p>
      <w:pPr>
        <w:tabs>
          <w:tab w:val="left" w:pos="1985"/>
        </w:tabs>
        <w:jc w:val="both"/>
        <w:rPr>
          <w:rFonts w:hint="default" w:eastAsia="等线" w:cs="Times New Roman"/>
          <w:sz w:val="20"/>
          <w:szCs w:val="20"/>
          <w:lang w:val="en-US" w:eastAsia="zh-CN" w:bidi="ar"/>
        </w:rPr>
      </w:pPr>
      <w:r>
        <w:rPr>
          <w:rFonts w:hint="eastAsia" w:ascii="Times New Roman" w:hAnsi="Times New Roman"/>
          <w:b/>
          <w:bCs/>
          <w:color w:val="000000" w:themeColor="text1"/>
          <w:lang w:val="en-US" w:eastAsia="zh-CN"/>
          <w14:textFill>
            <w14:solidFill>
              <w14:schemeClr w14:val="tx1"/>
            </w14:solidFill>
          </w14:textFill>
        </w:rPr>
        <w:t>Observation</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1</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ascii="Times New Roman" w:hAnsi="Times New Roman"/>
          <w:b/>
          <w:bCs/>
          <w:color w:val="000000" w:themeColor="text1"/>
          <w:lang w:val="en-US" w:eastAsia="zh-CN"/>
          <w14:textFill>
            <w14:solidFill>
              <w14:schemeClr w14:val="tx1"/>
            </w14:solidFill>
          </w14:textFill>
        </w:rPr>
        <w:t xml:space="preserve">For signaling base MDT, OAM can configure the selected UE immediate MDT and logged MDT configuration with different trace session. </w:t>
      </w:r>
    </w:p>
    <w:p>
      <w:pPr>
        <w:tabs>
          <w:tab w:val="left" w:pos="1985"/>
        </w:tabs>
        <w:jc w:val="both"/>
        <w:rPr>
          <w:rFonts w:hint="default"/>
          <w:b w:val="0"/>
          <w:bCs w:val="0"/>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1</w:t>
      </w:r>
      <w:r>
        <w:rPr>
          <w:rFonts w:ascii="Times New Roman" w:hAnsi="Times New Roman" w:eastAsiaTheme="minorEastAsia"/>
          <w:b/>
          <w:bCs/>
          <w:color w:val="000000" w:themeColor="text1"/>
          <w:lang w:eastAsia="zh-CN"/>
          <w14:textFill>
            <w14:solidFill>
              <w14:schemeClr w14:val="tx1"/>
            </w14:solidFill>
          </w14:textFill>
        </w:rPr>
        <w:t xml:space="preserve">: No </w:t>
      </w:r>
      <w:r>
        <w:rPr>
          <w:rFonts w:hint="eastAsia" w:ascii="Times New Roman" w:hAnsi="Times New Roman"/>
          <w:b/>
          <w:bCs/>
          <w:color w:val="000000" w:themeColor="text1"/>
          <w:lang w:val="en-US" w:eastAsia="zh-CN"/>
          <w14:textFill>
            <w14:solidFill>
              <w14:schemeClr w14:val="tx1"/>
            </w14:solidFill>
          </w14:textFill>
        </w:rPr>
        <w:t>need to enhance the signaling based MDT for continuous MDT collection</w:t>
      </w:r>
      <w:r>
        <w:rPr>
          <w:rFonts w:ascii="Times New Roman" w:hAnsi="Times New Roman" w:eastAsiaTheme="minorEastAsia"/>
          <w:b/>
          <w:bCs/>
          <w:color w:val="000000" w:themeColor="text1"/>
          <w:lang w:eastAsia="zh-CN"/>
          <w14:textFill>
            <w14:solidFill>
              <w14:schemeClr w14:val="tx1"/>
            </w14:solidFill>
          </w14:textFill>
        </w:rPr>
        <w:t>.</w:t>
      </w:r>
      <w:r>
        <w:rPr>
          <w:rFonts w:hint="eastAsia" w:ascii="Times New Roman" w:hAnsi="Times New Roman"/>
          <w:b/>
          <w:bCs/>
          <w:color w:val="000000" w:themeColor="text1"/>
          <w:lang w:val="en-US" w:eastAsia="zh-CN"/>
          <w14:textFill>
            <w14:solidFill>
              <w14:schemeClr w14:val="tx1"/>
            </w14:solidFill>
          </w14:textFill>
        </w:rPr>
        <w:t xml:space="preserve"> The signaling based MDT can be used for data collection from UE.</w:t>
      </w:r>
    </w:p>
    <w:p>
      <w:pPr>
        <w:tabs>
          <w:tab w:val="left" w:pos="1985"/>
        </w:tabs>
        <w:jc w:val="both"/>
        <w:rPr>
          <w:rFonts w:hint="eastAsia"/>
          <w:b w:val="0"/>
          <w:bCs w:val="0"/>
          <w:color w:val="000000" w:themeColor="text1"/>
          <w:lang w:val="en-US" w:eastAsia="zh-CN"/>
          <w14:textFill>
            <w14:solidFill>
              <w14:schemeClr w14:val="tx1"/>
            </w14:solidFill>
          </w14:textFill>
        </w:rPr>
      </w:pPr>
    </w:p>
    <w:p>
      <w:pPr>
        <w:tabs>
          <w:tab w:val="left" w:pos="1985"/>
        </w:tabs>
        <w:jc w:val="both"/>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For management based MDT:</w:t>
      </w:r>
    </w:p>
    <w:p>
      <w:pPr>
        <w:tabs>
          <w:tab w:val="left" w:pos="1985"/>
        </w:tabs>
        <w:jc w:val="both"/>
        <w:rPr>
          <w:rFonts w:hint="default" w:eastAsia="等线" w:cs="Times New Roman"/>
          <w:sz w:val="20"/>
          <w:szCs w:val="20"/>
          <w:lang w:val="en-US" w:eastAsia="zh-CN" w:bidi="ar"/>
        </w:rPr>
      </w:pPr>
      <w:r>
        <w:rPr>
          <w:rFonts w:hint="eastAsia" w:eastAsia="等线" w:cs="Times New Roman"/>
          <w:sz w:val="20"/>
          <w:szCs w:val="20"/>
          <w:lang w:val="en-US" w:eastAsia="zh-CN" w:bidi="ar"/>
        </w:rPr>
        <w:t xml:space="preserve">The management based MDT can be used to collect MDT data from a group of UEs, such as collecting the </w:t>
      </w:r>
      <w:r>
        <w:rPr>
          <w:rFonts w:ascii="Times New Roman" w:hAnsi="Times New Roman" w:eastAsiaTheme="minorEastAsia"/>
          <w:color w:val="000000" w:themeColor="text1"/>
          <w:lang w:eastAsia="zh-CN"/>
          <w14:textFill>
            <w14:solidFill>
              <w14:schemeClr w14:val="tx1"/>
            </w14:solidFill>
          </w14:textFill>
        </w:rPr>
        <w:t>measurements from different UE capabilities, UE implementation</w:t>
      </w:r>
      <w:r>
        <w:rPr>
          <w:rFonts w:hint="eastAsia" w:ascii="Times New Roman" w:hAnsi="Times New Roman"/>
          <w:color w:val="000000" w:themeColor="text1"/>
          <w:lang w:val="en-US" w:eastAsia="zh-CN"/>
          <w14:textFill>
            <w14:solidFill>
              <w14:schemeClr w14:val="tx1"/>
            </w14:solidFill>
          </w14:textFill>
        </w:rPr>
        <w:t>,</w:t>
      </w:r>
      <w:r>
        <w:rPr>
          <w:rFonts w:ascii="Times New Roman" w:hAnsi="Times New Roman" w:eastAsiaTheme="minorEastAsia"/>
          <w:color w:val="000000" w:themeColor="text1"/>
          <w:lang w:eastAsia="zh-CN"/>
          <w14:textFill>
            <w14:solidFill>
              <w14:schemeClr w14:val="tx1"/>
            </w14:solidFill>
          </w14:textFill>
        </w:rPr>
        <w:t xml:space="preserve"> etc</w:t>
      </w:r>
      <w:r>
        <w:rPr>
          <w:rFonts w:hint="eastAsia" w:ascii="Times New Roman" w:hAnsi="Times New Roman"/>
          <w:color w:val="000000" w:themeColor="text1"/>
          <w:lang w:val="en-US" w:eastAsia="zh-CN"/>
          <w14:textFill>
            <w14:solidFill>
              <w14:schemeClr w14:val="tx1"/>
            </w14:solidFill>
          </w14:textFill>
        </w:rPr>
        <w:t xml:space="preserve">. When OAM configure to gNB, the configuration parameter can include the </w:t>
      </w:r>
      <w:r>
        <w:rPr>
          <w:rFonts w:hint="eastAsia" w:eastAsia="等线" w:cs="Times New Roman"/>
          <w:sz w:val="20"/>
          <w:szCs w:val="20"/>
          <w:lang w:val="en-US" w:eastAsia="zh-CN" w:bidi="ar"/>
        </w:rPr>
        <w:t>a</w:t>
      </w:r>
      <w:r>
        <w:rPr>
          <w:rFonts w:hint="default" w:ascii="Times New Roman" w:hAnsi="Times New Roman" w:eastAsia="等线" w:cs="Times New Roman"/>
          <w:sz w:val="20"/>
          <w:szCs w:val="20"/>
          <w:lang w:val="en-US" w:eastAsia="en-US" w:bidi="ar"/>
        </w:rPr>
        <w:t xml:space="preserve">rea </w:t>
      </w:r>
      <w:r>
        <w:rPr>
          <w:rFonts w:hint="eastAsia" w:eastAsia="等线" w:cs="Times New Roman"/>
          <w:sz w:val="20"/>
          <w:szCs w:val="20"/>
          <w:lang w:val="en-US" w:eastAsia="zh-CN" w:bidi="ar"/>
        </w:rPr>
        <w:t>s</w:t>
      </w:r>
      <w:r>
        <w:rPr>
          <w:rFonts w:hint="default" w:ascii="Times New Roman" w:hAnsi="Times New Roman" w:eastAsia="等线" w:cs="Times New Roman"/>
          <w:sz w:val="20"/>
          <w:szCs w:val="20"/>
          <w:lang w:val="en-US" w:eastAsia="en-US" w:bidi="ar"/>
        </w:rPr>
        <w:t>cope where the UE measurements should be collected</w:t>
      </w:r>
      <w:r>
        <w:rPr>
          <w:rFonts w:hint="eastAsia" w:eastAsia="等线" w:cs="Times New Roman"/>
          <w:sz w:val="20"/>
          <w:szCs w:val="20"/>
          <w:lang w:val="en-US" w:eastAsia="zh-CN" w:bidi="ar"/>
        </w:rPr>
        <w:t xml:space="preserve"> (e.g. </w:t>
      </w:r>
      <w:r>
        <w:rPr>
          <w:rFonts w:hint="default" w:ascii="Times New Roman" w:hAnsi="Times New Roman" w:eastAsia="等线" w:cs="Times New Roman"/>
          <w:sz w:val="20"/>
          <w:szCs w:val="20"/>
          <w:lang w:val="en-US" w:eastAsia="en-US" w:bidi="ar"/>
        </w:rPr>
        <w:t>list of NG-RAN cells</w:t>
      </w:r>
      <w:r>
        <w:rPr>
          <w:rFonts w:hint="eastAsia" w:eastAsia="等线" w:cs="Times New Roman"/>
          <w:sz w:val="20"/>
          <w:szCs w:val="20"/>
          <w:lang w:val="en-US" w:eastAsia="zh-CN" w:bidi="ar"/>
        </w:rPr>
        <w:t xml:space="preserve">), and </w:t>
      </w:r>
      <w:r>
        <w:rPr>
          <w:rFonts w:hint="default" w:ascii="Times New Roman" w:hAnsi="Times New Roman" w:eastAsia="等线" w:cs="Times New Roman"/>
          <w:sz w:val="20"/>
          <w:szCs w:val="20"/>
          <w:lang w:val="en-US" w:eastAsia="zh-CN" w:bidi="ar"/>
        </w:rPr>
        <w:t>gNB</w:t>
      </w:r>
      <w:r>
        <w:rPr>
          <w:rFonts w:hint="default" w:ascii="Times New Roman" w:hAnsi="Times New Roman" w:eastAsia="等线" w:cs="Times New Roman"/>
          <w:sz w:val="20"/>
          <w:szCs w:val="20"/>
          <w:lang w:val="en-US" w:eastAsia="en-US" w:bidi="ar"/>
        </w:rPr>
        <w:t xml:space="preserve"> select</w:t>
      </w:r>
      <w:r>
        <w:rPr>
          <w:rFonts w:hint="eastAsia" w:eastAsia="等线" w:cs="Times New Roman"/>
          <w:sz w:val="20"/>
          <w:szCs w:val="20"/>
          <w:lang w:val="en-US" w:eastAsia="zh-CN" w:bidi="ar"/>
        </w:rPr>
        <w:t>s</w:t>
      </w:r>
      <w:r>
        <w:rPr>
          <w:rFonts w:hint="default" w:ascii="Times New Roman" w:hAnsi="Times New Roman" w:eastAsia="等线" w:cs="Times New Roman"/>
          <w:sz w:val="20"/>
          <w:szCs w:val="20"/>
          <w:lang w:val="en-US" w:eastAsia="en-US" w:bidi="ar"/>
        </w:rPr>
        <w:t xml:space="preserve"> the suitable UEs for MDT data collection</w:t>
      </w:r>
      <w:r>
        <w:rPr>
          <w:rFonts w:hint="eastAsia" w:eastAsia="等线" w:cs="Times New Roman"/>
          <w:sz w:val="20"/>
          <w:szCs w:val="20"/>
          <w:lang w:val="en-US" w:eastAsia="zh-CN" w:bidi="ar"/>
        </w:rPr>
        <w:t xml:space="preserve">, which means that the gNB can know which UEs are configured for continuous MDT. When the selected UEs moves from idle/inactive to connected state, the </w:t>
      </w:r>
      <w:r>
        <w:rPr>
          <w:rFonts w:hint="eastAsia" w:eastAsia="等线" w:cs="Times New Roman"/>
          <w:sz w:val="20"/>
          <w:szCs w:val="20"/>
          <w:lang w:val="en-US" w:eastAsia="zh-CN" w:bidi="ar"/>
        </w:rPr>
        <w:t>connected</w:t>
      </w:r>
      <w:r>
        <w:rPr>
          <w:rFonts w:hint="eastAsia" w:eastAsia="等线" w:cs="Times New Roman"/>
          <w:sz w:val="20"/>
          <w:szCs w:val="20"/>
          <w:lang w:val="en-US" w:eastAsia="zh-CN" w:bidi="ar"/>
        </w:rPr>
        <w:t xml:space="preserve"> node </w:t>
      </w:r>
      <w:r>
        <w:rPr>
          <w:rFonts w:hint="eastAsia"/>
          <w:lang w:val="en-US" w:eastAsia="zh-CN"/>
        </w:rPr>
        <w:t>could</w:t>
      </w:r>
      <w:r>
        <w:rPr>
          <w:lang w:eastAsia="zh-CN"/>
        </w:rPr>
        <w:t xml:space="preserve"> have the same Management based MDT configuration from OAM.</w:t>
      </w:r>
      <w:r>
        <w:rPr>
          <w:rFonts w:hint="eastAsia"/>
          <w:lang w:val="en-US" w:eastAsia="zh-CN"/>
        </w:rPr>
        <w:t xml:space="preserve"> </w:t>
      </w:r>
    </w:p>
    <w:p>
      <w:pPr>
        <w:tabs>
          <w:tab w:val="left" w:pos="1985"/>
        </w:tabs>
        <w:jc w:val="both"/>
        <w:rPr>
          <w:rFonts w:hint="eastAsia" w:ascii="Times New Roman" w:hAnsi="Times New Roman"/>
          <w:b/>
          <w:bCs/>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2</w:t>
      </w:r>
      <w:r>
        <w:rPr>
          <w:rFonts w:ascii="Times New Roman" w:hAnsi="Times New Roman" w:eastAsiaTheme="minorEastAsia"/>
          <w:b/>
          <w:bCs/>
          <w:color w:val="000000" w:themeColor="text1"/>
          <w:lang w:eastAsia="zh-CN"/>
          <w14:textFill>
            <w14:solidFill>
              <w14:schemeClr w14:val="tx1"/>
            </w14:solidFill>
          </w14:textFill>
        </w:rPr>
        <w:t xml:space="preserve">: No </w:t>
      </w:r>
      <w:r>
        <w:rPr>
          <w:rFonts w:hint="eastAsia" w:ascii="Times New Roman" w:hAnsi="Times New Roman"/>
          <w:b/>
          <w:bCs/>
          <w:color w:val="000000" w:themeColor="text1"/>
          <w:lang w:val="en-US" w:eastAsia="zh-CN"/>
          <w14:textFill>
            <w14:solidFill>
              <w14:schemeClr w14:val="tx1"/>
            </w14:solidFill>
          </w14:textFill>
        </w:rPr>
        <w:t>need to enhance the management based MDT for continuous MDT collection</w:t>
      </w:r>
      <w:r>
        <w:rPr>
          <w:rFonts w:ascii="Times New Roman" w:hAnsi="Times New Roman" w:eastAsiaTheme="minorEastAsia"/>
          <w:b/>
          <w:bCs/>
          <w:color w:val="000000" w:themeColor="text1"/>
          <w:lang w:eastAsia="zh-CN"/>
          <w14:textFill>
            <w14:solidFill>
              <w14:schemeClr w14:val="tx1"/>
            </w14:solidFill>
          </w14:textFill>
        </w:rPr>
        <w:t>.</w:t>
      </w:r>
      <w:r>
        <w:rPr>
          <w:rFonts w:hint="eastAsia" w:ascii="Times New Roman" w:hAnsi="Times New Roman"/>
          <w:b/>
          <w:bCs/>
          <w:color w:val="000000" w:themeColor="text1"/>
          <w:lang w:val="en-US" w:eastAsia="zh-CN"/>
          <w14:textFill>
            <w14:solidFill>
              <w14:schemeClr w14:val="tx1"/>
            </w14:solidFill>
          </w14:textFill>
        </w:rPr>
        <w:t xml:space="preserve"> The management based MDT can be used for data collection from a group of UEs.</w:t>
      </w:r>
    </w:p>
    <w:p>
      <w:pPr>
        <w:tabs>
          <w:tab w:val="left" w:pos="1985"/>
        </w:tabs>
        <w:jc w:val="both"/>
        <w:rPr>
          <w:rFonts w:hint="eastAsia" w:ascii="Times New Roman" w:hAnsi="Times New Roman"/>
          <w:b/>
          <w:bCs/>
          <w:color w:val="000000" w:themeColor="text1"/>
          <w:lang w:val="en-US" w:eastAsia="zh-CN"/>
          <w14:textFill>
            <w14:solidFill>
              <w14:schemeClr w14:val="tx1"/>
            </w14:solidFill>
          </w14:textFill>
        </w:rPr>
      </w:pPr>
    </w:p>
    <w:p>
      <w:pPr>
        <w:tabs>
          <w:tab w:val="left" w:pos="1985"/>
        </w:tabs>
        <w:jc w:val="both"/>
        <w:rPr>
          <w:rFonts w:hint="default" w:eastAsia="等线" w:cs="Times New Roman"/>
          <w:sz w:val="20"/>
          <w:szCs w:val="20"/>
          <w:lang w:val="en-US" w:eastAsia="zh-CN" w:bidi="ar"/>
        </w:rPr>
      </w:pPr>
      <w:r>
        <w:rPr>
          <w:rFonts w:hint="eastAsia" w:eastAsia="等线" w:cs="Times New Roman"/>
          <w:sz w:val="20"/>
          <w:szCs w:val="20"/>
          <w:lang w:val="en-US" w:eastAsia="zh-CN" w:bidi="ar"/>
        </w:rPr>
        <w:t xml:space="preserve">From the below figure in 32.422, the immediate MDT report and logged MDT reports are all sent to TCE eventually. As we achieved an agreement </w:t>
      </w:r>
      <w:r>
        <w:rPr>
          <w:rFonts w:hint="default" w:eastAsia="等线" w:cs="Times New Roman"/>
          <w:sz w:val="20"/>
          <w:szCs w:val="20"/>
          <w:lang w:val="en-US" w:eastAsia="zh-CN" w:bidi="ar"/>
        </w:rPr>
        <w:t>“</w:t>
      </w:r>
      <w:r>
        <w:rPr>
          <w:rFonts w:ascii="Calibri" w:hAnsi="Calibri" w:cs="Calibri"/>
          <w:b/>
          <w:color w:val="008000"/>
          <w:sz w:val="18"/>
          <w:lang w:eastAsia="en-US"/>
        </w:rPr>
        <w:t>Continuous collection of MDT traces is beneficial only for AI/ML training in OAM.</w:t>
      </w:r>
      <w:r>
        <w:rPr>
          <w:rFonts w:hint="default" w:eastAsia="等线" w:cs="Times New Roman"/>
          <w:sz w:val="20"/>
          <w:szCs w:val="20"/>
          <w:lang w:val="en-US" w:eastAsia="zh-CN" w:bidi="ar"/>
        </w:rPr>
        <w:t>”</w:t>
      </w:r>
      <w:r>
        <w:rPr>
          <w:rFonts w:hint="eastAsia" w:eastAsia="等线" w:cs="Times New Roman"/>
          <w:sz w:val="20"/>
          <w:szCs w:val="20"/>
          <w:lang w:val="en-US" w:eastAsia="zh-CN" w:bidi="ar"/>
        </w:rPr>
        <w:t xml:space="preserve"> in RAN3#119bis meeting, </w:t>
      </w:r>
      <w:r>
        <w:rPr>
          <w:rFonts w:hint="eastAsia"/>
          <w:color w:val="000000" w:themeColor="text1"/>
          <w:lang w:val="en-US" w:eastAsia="zh-CN"/>
          <w14:textFill>
            <w14:solidFill>
              <w14:schemeClr w14:val="tx1"/>
            </w14:solidFill>
          </w14:textFill>
        </w:rPr>
        <w:t xml:space="preserve">we think that the use of the collected continuous MDT data </w:t>
      </w:r>
      <w:r>
        <w:rPr>
          <w:rFonts w:ascii="Times New Roman" w:hAnsi="Times New Roman" w:eastAsiaTheme="minorEastAsia"/>
          <w:color w:val="000000" w:themeColor="text1"/>
          <w:lang w:eastAsia="zh-CN"/>
          <w14:textFill>
            <w14:solidFill>
              <w14:schemeClr w14:val="tx1"/>
            </w14:solidFill>
          </w14:textFill>
        </w:rPr>
        <w:t>is not a real-time task</w:t>
      </w:r>
      <w:r>
        <w:rPr>
          <w:rFonts w:hint="eastAsia"/>
          <w:color w:val="000000" w:themeColor="text1"/>
          <w:lang w:val="en-US" w:eastAsia="zh-CN"/>
          <w14:textFill>
            <w14:solidFill>
              <w14:schemeClr w14:val="tx1"/>
            </w14:solidFill>
          </w14:textFill>
        </w:rPr>
        <w:t xml:space="preserve"> and no need to associate the different RRC states MDT report from the same UE on the gNB side</w:t>
      </w:r>
      <w:r>
        <w:rPr>
          <w:rFonts w:hint="eastAsia" w:eastAsia="等线" w:cs="Times New Roman"/>
          <w:sz w:val="20"/>
          <w:szCs w:val="20"/>
          <w:lang w:val="en-US" w:eastAsia="zh-CN" w:bidi="ar"/>
        </w:rPr>
        <w:t>. The TCE can do the association of the MDT reports of different RRC states from the same UE.</w:t>
      </w:r>
    </w:p>
    <w:p>
      <w:pPr>
        <w:tabs>
          <w:tab w:val="left" w:pos="1985"/>
        </w:tabs>
        <w:jc w:val="both"/>
        <w:rPr>
          <w:rFonts w:hint="eastAsia" w:eastAsia="等线" w:cs="Times New Roman"/>
          <w:sz w:val="20"/>
          <w:szCs w:val="20"/>
          <w:lang w:val="en-US" w:eastAsia="zh-CN" w:bidi="ar"/>
        </w:rPr>
      </w:pPr>
      <w:r>
        <w:rPr>
          <w:rFonts w:hint="eastAsia" w:eastAsia="等线" w:cs="Times New Roman"/>
          <w:sz w:val="20"/>
          <w:szCs w:val="20"/>
          <w:lang w:val="en-US" w:eastAsia="zh-CN" w:bidi="ar"/>
        </w:rPr>
        <w:object>
          <v:shape id="_x0000_i1029" o:spt="75" type="#_x0000_t75" style="height:274.5pt;width:221.05pt;" o:ole="t" filled="f" o:preferrelative="t" stroked="f" coordsize="21600,21600">
            <v:path/>
            <v:fill on="f" focussize="0,0"/>
            <v:stroke on="f"/>
            <v:imagedata r:id="rId7" o:title=""/>
            <o:lock v:ext="edit" aspectratio="f"/>
            <w10:wrap type="none"/>
            <w10:anchorlock/>
          </v:shape>
          <o:OLEObject Type="Embed" ProgID="Visio.Drawing.11" ShapeID="_x0000_i1029" DrawAspect="Content" ObjectID="_1468075725" r:id="rId6">
            <o:LockedField>false</o:LockedField>
          </o:OLEObject>
        </w:object>
      </w:r>
      <w:r>
        <w:rPr>
          <w:rFonts w:hint="eastAsia" w:eastAsia="等线" w:cs="Times New Roman"/>
          <w:sz w:val="20"/>
          <w:szCs w:val="20"/>
          <w:lang w:val="en-US" w:eastAsia="zh-CN" w:bidi="ar"/>
        </w:rPr>
        <w:t xml:space="preserve">      </w:t>
      </w:r>
      <w:r>
        <w:rPr>
          <w:rFonts w:hint="eastAsia" w:eastAsia="等线" w:cs="Times New Roman"/>
          <w:sz w:val="20"/>
          <w:szCs w:val="20"/>
          <w:lang w:val="en-US" w:eastAsia="zh-CN" w:bidi="ar"/>
        </w:rPr>
        <w:object>
          <v:shape id="_x0000_i1028" o:spt="75" alt="" type="#_x0000_t75" style="height:278.2pt;width:221.25pt;" o:ole="t" filled="f" o:preferrelative="t" stroked="f" coordsize="21600,21600">
            <v:path/>
            <v:fill on="f" focussize="0,0"/>
            <v:stroke on="f"/>
            <v:imagedata r:id="rId9" cropright="28121f" o:title=""/>
            <o:lock v:ext="edit" aspectratio="f"/>
            <w10:wrap type="none"/>
            <w10:anchorlock/>
          </v:shape>
          <o:OLEObject Type="Embed" ProgID="Visio.Drawing.11" ShapeID="_x0000_i1028" DrawAspect="Content" ObjectID="_1468075726" r:id="rId8">
            <o:LockedField>false</o:LockedField>
          </o:OLEObject>
        </w:object>
      </w:r>
    </w:p>
    <w:p>
      <w:pPr>
        <w:tabs>
          <w:tab w:val="left" w:pos="1985"/>
        </w:tabs>
        <w:ind w:firstLine="200" w:firstLineChars="100"/>
        <w:jc w:val="both"/>
        <w:rPr>
          <w:rFonts w:hint="default" w:eastAsia="等线" w:cs="Times New Roman"/>
          <w:b w:val="0"/>
          <w:bCs w:val="0"/>
          <w:sz w:val="20"/>
          <w:szCs w:val="20"/>
          <w:lang w:val="en-US" w:eastAsia="zh-CN" w:bidi="ar"/>
        </w:rPr>
      </w:pPr>
      <w:r>
        <w:rPr>
          <w:rFonts w:hint="eastAsia" w:eastAsia="等线" w:cs="Times New Roman"/>
          <w:sz w:val="20"/>
          <w:szCs w:val="20"/>
          <w:lang w:val="en-US" w:eastAsia="zh-CN" w:bidi="ar"/>
        </w:rPr>
        <w:t xml:space="preserve">Figure 1: </w:t>
      </w:r>
      <w:r>
        <w:rPr>
          <w:rFonts w:hint="default" w:ascii="Times New Roman" w:hAnsi="Times New Roman" w:eastAsia="等线" w:cs="Times New Roman"/>
          <w:sz w:val="20"/>
          <w:szCs w:val="20"/>
          <w:lang w:val="en-US" w:eastAsia="en-US" w:bidi="ar"/>
        </w:rPr>
        <w:t>Immediate MDT reporting</w:t>
      </w:r>
      <w:r>
        <w:rPr>
          <w:rFonts w:hint="eastAsia" w:eastAsia="等线" w:cs="Times New Roman"/>
          <w:sz w:val="20"/>
          <w:szCs w:val="20"/>
          <w:lang w:val="en-US" w:eastAsia="zh-CN" w:bidi="ar"/>
        </w:rPr>
        <w:t xml:space="preserve"> (from 32.422)          </w:t>
      </w:r>
      <w:r>
        <w:rPr>
          <w:rFonts w:hint="eastAsia" w:eastAsia="等线" w:cs="Times New Roman"/>
          <w:sz w:val="20"/>
          <w:szCs w:val="20"/>
          <w:lang w:val="en-US" w:eastAsia="zh-CN" w:bidi="ar"/>
        </w:rPr>
        <w:t xml:space="preserve">Figure 2: </w:t>
      </w:r>
      <w:r>
        <w:rPr>
          <w:rFonts w:hint="eastAsia" w:ascii="Times New Roman" w:hAnsi="Times New Roman" w:eastAsia="等线" w:cs="Times New Roman"/>
          <w:sz w:val="20"/>
          <w:szCs w:val="20"/>
          <w:lang w:val="en-US" w:eastAsia="zh-CN" w:bidi="ar"/>
        </w:rPr>
        <w:t>Logged</w:t>
      </w:r>
      <w:r>
        <w:rPr>
          <w:rFonts w:hint="default" w:ascii="Times New Roman" w:hAnsi="Times New Roman" w:eastAsia="等线" w:cs="Times New Roman"/>
          <w:sz w:val="20"/>
          <w:szCs w:val="20"/>
          <w:lang w:val="en-US" w:eastAsia="en-US" w:bidi="ar"/>
        </w:rPr>
        <w:t xml:space="preserve"> MDT reporting</w:t>
      </w:r>
      <w:r>
        <w:rPr>
          <w:rFonts w:hint="eastAsia" w:eastAsia="等线" w:cs="Times New Roman"/>
          <w:sz w:val="20"/>
          <w:szCs w:val="20"/>
          <w:lang w:val="en-US" w:eastAsia="zh-CN" w:bidi="ar"/>
        </w:rPr>
        <w:t xml:space="preserve"> (from 32.422)</w:t>
      </w:r>
    </w:p>
    <w:p>
      <w:pPr>
        <w:tabs>
          <w:tab w:val="left" w:pos="1985"/>
        </w:tabs>
        <w:jc w:val="both"/>
        <w:rPr>
          <w:rFonts w:hint="eastAsia" w:ascii="Times New Roman" w:hAnsi="Times New Roman" w:eastAsiaTheme="minorEastAsia"/>
          <w:b/>
          <w:bCs/>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3</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ascii="Times New Roman" w:hAnsi="Times New Roman"/>
          <w:b/>
          <w:bCs/>
          <w:color w:val="000000" w:themeColor="text1"/>
          <w:lang w:val="en-US" w:eastAsia="zh-CN"/>
          <w14:textFill>
            <w14:solidFill>
              <w14:schemeClr w14:val="tx1"/>
            </w14:solidFill>
          </w14:textFill>
        </w:rPr>
        <w:t xml:space="preserve">The association of different RRC states MDT reports from same UE can be done in TCE. The continuous MDT collection can be supported by the </w:t>
      </w:r>
      <w:r>
        <w:rPr>
          <w:rFonts w:hint="eastAsia" w:ascii="Times New Roman" w:hAnsi="Times New Roman"/>
          <w:b/>
          <w:bCs/>
          <w:color w:val="000000" w:themeColor="text1"/>
          <w:lang w:val="en-US" w:eastAsia="en-US"/>
          <w14:textFill>
            <w14:solidFill>
              <w14:schemeClr w14:val="tx1"/>
            </w14:solidFill>
          </w14:textFill>
        </w:rPr>
        <w:t>existing MDT mechanism without enhancement</w:t>
      </w:r>
      <w:r>
        <w:rPr>
          <w:rFonts w:hint="eastAsia" w:ascii="Times New Roman" w:hAnsi="Times New Roman"/>
          <w:b/>
          <w:bCs/>
          <w:color w:val="000000" w:themeColor="text1"/>
          <w:lang w:val="en-US" w:eastAsia="zh-CN"/>
          <w14:textFill>
            <w14:solidFill>
              <w14:schemeClr w14:val="tx1"/>
            </w14:solidFill>
          </w14:textFill>
        </w:rPr>
        <w:t>.</w:t>
      </w:r>
    </w:p>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We propose the following </w:t>
      </w:r>
      <w:r>
        <w:rPr>
          <w:rFonts w:hint="eastAsia" w:eastAsia="宋体" w:cs="Times New Roman"/>
          <w:szCs w:val="20"/>
        </w:rPr>
        <w:t>observations</w:t>
      </w:r>
      <w:r>
        <w:rPr>
          <w:rFonts w:eastAsia="宋体" w:cs="Times New Roman"/>
          <w:szCs w:val="20"/>
        </w:rPr>
        <w:t xml:space="preserve"> </w:t>
      </w:r>
      <w:r>
        <w:rPr>
          <w:rFonts w:hint="eastAsia" w:eastAsia="宋体" w:cs="Times New Roman"/>
          <w:szCs w:val="20"/>
        </w:rPr>
        <w:t>and</w:t>
      </w:r>
      <w:r>
        <w:rPr>
          <w:rFonts w:eastAsia="宋体" w:cs="Times New Roman"/>
          <w:szCs w:val="20"/>
        </w:rPr>
        <w:t xml:space="preserve"> proposals:</w:t>
      </w:r>
    </w:p>
    <w:p>
      <w:pPr>
        <w:tabs>
          <w:tab w:val="left" w:pos="1985"/>
        </w:tabs>
        <w:jc w:val="both"/>
        <w:rPr>
          <w:rFonts w:hint="default" w:eastAsia="等线" w:cs="Times New Roman"/>
          <w:sz w:val="20"/>
          <w:szCs w:val="20"/>
          <w:lang w:val="en-US" w:eastAsia="zh-CN" w:bidi="ar"/>
        </w:rPr>
      </w:pPr>
      <w:r>
        <w:rPr>
          <w:rFonts w:hint="eastAsia" w:ascii="Times New Roman" w:hAnsi="Times New Roman"/>
          <w:b/>
          <w:bCs/>
          <w:color w:val="000000" w:themeColor="text1"/>
          <w:lang w:val="en-US" w:eastAsia="zh-CN"/>
          <w14:textFill>
            <w14:solidFill>
              <w14:schemeClr w14:val="tx1"/>
            </w14:solidFill>
          </w14:textFill>
        </w:rPr>
        <w:t>Observation</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b/>
          <w:bCs/>
          <w:color w:val="000000" w:themeColor="text1"/>
          <w:lang w:val="en-US" w:eastAsia="zh-CN"/>
          <w14:textFill>
            <w14:solidFill>
              <w14:schemeClr w14:val="tx1"/>
            </w14:solidFill>
          </w14:textFill>
        </w:rPr>
        <w:t>1</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ascii="Times New Roman" w:hAnsi="Times New Roman"/>
          <w:b/>
          <w:bCs/>
          <w:color w:val="000000" w:themeColor="text1"/>
          <w:lang w:val="en-US" w:eastAsia="zh-CN"/>
          <w14:textFill>
            <w14:solidFill>
              <w14:schemeClr w14:val="tx1"/>
            </w14:solidFill>
          </w14:textFill>
        </w:rPr>
        <w:t xml:space="preserve">For signaling base MDT, OAM can configure the selected UE immediate MDT and logged MDT configuration with different trace session. </w:t>
      </w:r>
    </w:p>
    <w:p>
      <w:pPr>
        <w:tabs>
          <w:tab w:val="left" w:pos="1985"/>
        </w:tabs>
        <w:jc w:val="both"/>
        <w:rPr>
          <w:rFonts w:hint="eastAsia" w:ascii="Times New Roman" w:hAnsi="Times New Roman"/>
          <w:b/>
          <w:bCs/>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1</w:t>
      </w:r>
      <w:r>
        <w:rPr>
          <w:rFonts w:ascii="Times New Roman" w:hAnsi="Times New Roman" w:eastAsiaTheme="minorEastAsia"/>
          <w:b/>
          <w:bCs/>
          <w:color w:val="000000" w:themeColor="text1"/>
          <w:lang w:eastAsia="zh-CN"/>
          <w14:textFill>
            <w14:solidFill>
              <w14:schemeClr w14:val="tx1"/>
            </w14:solidFill>
          </w14:textFill>
        </w:rPr>
        <w:t xml:space="preserve">: No </w:t>
      </w:r>
      <w:r>
        <w:rPr>
          <w:rFonts w:hint="eastAsia" w:ascii="Times New Roman" w:hAnsi="Times New Roman"/>
          <w:b/>
          <w:bCs/>
          <w:color w:val="000000" w:themeColor="text1"/>
          <w:lang w:val="en-US" w:eastAsia="zh-CN"/>
          <w14:textFill>
            <w14:solidFill>
              <w14:schemeClr w14:val="tx1"/>
            </w14:solidFill>
          </w14:textFill>
        </w:rPr>
        <w:t>need to enhance the signaling based MDT for continuous MDT collection</w:t>
      </w:r>
      <w:r>
        <w:rPr>
          <w:rFonts w:ascii="Times New Roman" w:hAnsi="Times New Roman" w:eastAsiaTheme="minorEastAsia"/>
          <w:b/>
          <w:bCs/>
          <w:color w:val="000000" w:themeColor="text1"/>
          <w:lang w:eastAsia="zh-CN"/>
          <w14:textFill>
            <w14:solidFill>
              <w14:schemeClr w14:val="tx1"/>
            </w14:solidFill>
          </w14:textFill>
        </w:rPr>
        <w:t>.</w:t>
      </w:r>
      <w:r>
        <w:rPr>
          <w:rFonts w:hint="eastAsia" w:ascii="Times New Roman" w:hAnsi="Times New Roman"/>
          <w:b/>
          <w:bCs/>
          <w:color w:val="000000" w:themeColor="text1"/>
          <w:lang w:val="en-US" w:eastAsia="zh-CN"/>
          <w14:textFill>
            <w14:solidFill>
              <w14:schemeClr w14:val="tx1"/>
            </w14:solidFill>
          </w14:textFill>
        </w:rPr>
        <w:t xml:space="preserve"> The signaling based MDT can be used for data collection from UE. </w:t>
      </w:r>
    </w:p>
    <w:p>
      <w:pPr>
        <w:tabs>
          <w:tab w:val="left" w:pos="1985"/>
        </w:tabs>
        <w:jc w:val="both"/>
        <w:rPr>
          <w:rFonts w:hint="eastAsia" w:ascii="Times New Roman" w:hAnsi="Times New Roman"/>
          <w:b/>
          <w:bCs/>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2</w:t>
      </w:r>
      <w:r>
        <w:rPr>
          <w:rFonts w:ascii="Times New Roman" w:hAnsi="Times New Roman" w:eastAsiaTheme="minorEastAsia"/>
          <w:b/>
          <w:bCs/>
          <w:color w:val="000000" w:themeColor="text1"/>
          <w:lang w:eastAsia="zh-CN"/>
          <w14:textFill>
            <w14:solidFill>
              <w14:schemeClr w14:val="tx1"/>
            </w14:solidFill>
          </w14:textFill>
        </w:rPr>
        <w:t xml:space="preserve">: No </w:t>
      </w:r>
      <w:r>
        <w:rPr>
          <w:rFonts w:hint="eastAsia" w:ascii="Times New Roman" w:hAnsi="Times New Roman"/>
          <w:b/>
          <w:bCs/>
          <w:color w:val="000000" w:themeColor="text1"/>
          <w:lang w:val="en-US" w:eastAsia="zh-CN"/>
          <w14:textFill>
            <w14:solidFill>
              <w14:schemeClr w14:val="tx1"/>
            </w14:solidFill>
          </w14:textFill>
        </w:rPr>
        <w:t>need to enhance the management based MDT for continuous MDT collection</w:t>
      </w:r>
      <w:r>
        <w:rPr>
          <w:rFonts w:ascii="Times New Roman" w:hAnsi="Times New Roman" w:eastAsiaTheme="minorEastAsia"/>
          <w:b/>
          <w:bCs/>
          <w:color w:val="000000" w:themeColor="text1"/>
          <w:lang w:eastAsia="zh-CN"/>
          <w14:textFill>
            <w14:solidFill>
              <w14:schemeClr w14:val="tx1"/>
            </w14:solidFill>
          </w14:textFill>
        </w:rPr>
        <w:t>.</w:t>
      </w:r>
      <w:r>
        <w:rPr>
          <w:rFonts w:hint="eastAsia" w:ascii="Times New Roman" w:hAnsi="Times New Roman"/>
          <w:b/>
          <w:bCs/>
          <w:color w:val="000000" w:themeColor="text1"/>
          <w:lang w:val="en-US" w:eastAsia="zh-CN"/>
          <w14:textFill>
            <w14:solidFill>
              <w14:schemeClr w14:val="tx1"/>
            </w14:solidFill>
          </w14:textFill>
        </w:rPr>
        <w:t xml:space="preserve"> The management based MDT can be used for data collection from a group of UEs.</w:t>
      </w:r>
    </w:p>
    <w:p>
      <w:pPr>
        <w:tabs>
          <w:tab w:val="left" w:pos="1985"/>
        </w:tabs>
        <w:jc w:val="both"/>
        <w:rPr>
          <w:rFonts w:hint="default" w:ascii="Times New Roman" w:hAnsi="Times New Roman"/>
          <w:b/>
          <w:bCs/>
          <w:color w:val="000000" w:themeColor="text1"/>
          <w:lang w:val="en-US" w:eastAsia="zh-CN"/>
          <w14:textFill>
            <w14:solidFill>
              <w14:schemeClr w14:val="tx1"/>
            </w14:solidFill>
          </w14:textFill>
        </w:rPr>
      </w:pPr>
      <w:r>
        <w:rPr>
          <w:rFonts w:ascii="Times New Roman" w:hAnsi="Times New Roman" w:eastAsiaTheme="minorEastAsia"/>
          <w:b/>
          <w:bCs/>
          <w:color w:val="000000" w:themeColor="text1"/>
          <w:lang w:eastAsia="zh-CN"/>
          <w14:textFill>
            <w14:solidFill>
              <w14:schemeClr w14:val="tx1"/>
            </w14:solidFill>
          </w14:textFill>
        </w:rPr>
        <w:t xml:space="preserve">Proposal </w:t>
      </w:r>
      <w:r>
        <w:rPr>
          <w:rFonts w:hint="eastAsia"/>
          <w:b/>
          <w:bCs/>
          <w:color w:val="000000" w:themeColor="text1"/>
          <w:lang w:val="en-US" w:eastAsia="zh-CN"/>
          <w14:textFill>
            <w14:solidFill>
              <w14:schemeClr w14:val="tx1"/>
            </w14:solidFill>
          </w14:textFill>
        </w:rPr>
        <w:t>3</w:t>
      </w:r>
      <w:r>
        <w:rPr>
          <w:rFonts w:ascii="Times New Roman" w:hAnsi="Times New Roman" w:eastAsiaTheme="minorEastAsia"/>
          <w:b/>
          <w:bCs/>
          <w:color w:val="000000" w:themeColor="text1"/>
          <w:lang w:eastAsia="zh-CN"/>
          <w14:textFill>
            <w14:solidFill>
              <w14:schemeClr w14:val="tx1"/>
            </w14:solidFill>
          </w14:textFill>
        </w:rPr>
        <w:t xml:space="preserve">: </w:t>
      </w:r>
      <w:r>
        <w:rPr>
          <w:rFonts w:hint="eastAsia" w:ascii="Times New Roman" w:hAnsi="Times New Roman"/>
          <w:b/>
          <w:bCs/>
          <w:color w:val="000000" w:themeColor="text1"/>
          <w:lang w:val="en-US" w:eastAsia="zh-CN"/>
          <w14:textFill>
            <w14:solidFill>
              <w14:schemeClr w14:val="tx1"/>
            </w14:solidFill>
          </w14:textFill>
        </w:rPr>
        <w:t xml:space="preserve">The association of different RRC states MDT reports from same UE can be done in TCE. The continuous MDT collection can be supported by the </w:t>
      </w:r>
      <w:r>
        <w:rPr>
          <w:rFonts w:hint="eastAsia" w:ascii="Times New Roman" w:hAnsi="Times New Roman"/>
          <w:b/>
          <w:bCs/>
          <w:color w:val="000000" w:themeColor="text1"/>
          <w:lang w:val="en-US" w:eastAsia="en-US"/>
          <w14:textFill>
            <w14:solidFill>
              <w14:schemeClr w14:val="tx1"/>
            </w14:solidFill>
          </w14:textFill>
        </w:rPr>
        <w:t>existing MDT mechanism without enhancement</w:t>
      </w:r>
      <w:r>
        <w:rPr>
          <w:rFonts w:hint="eastAsia" w:ascii="Times New Roman" w:hAnsi="Times New Roman"/>
          <w:b/>
          <w:bCs/>
          <w:color w:val="000000" w:themeColor="text1"/>
          <w:lang w:val="en-US" w:eastAsia="zh-CN"/>
          <w14:textFill>
            <w14:solidFill>
              <w14:schemeClr w14:val="tx1"/>
            </w14:solidFill>
          </w14:textFill>
        </w:rPr>
        <w:t>.</w:t>
      </w:r>
    </w:p>
    <w:p>
      <w:pPr>
        <w:rPr>
          <w:rFonts w:hint="eastAsia" w:ascii="Times New Roman" w:hAnsi="Times New Roman"/>
          <w:b/>
          <w:bCs/>
          <w:color w:val="000000" w:themeColor="text1"/>
          <w:lang w:val="en-US" w:eastAsia="zh-CN"/>
          <w14:textFill>
            <w14:solidFill>
              <w14:schemeClr w14:val="tx1"/>
            </w14:solidFill>
          </w14:textFill>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[2] TR 38.423, Xn Application Protocol (XnAP)</w:t>
      </w:r>
      <w:bookmarkEnd w:id="1"/>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731B"/>
    <w:rsid w:val="01304339"/>
    <w:rsid w:val="01CA5DF6"/>
    <w:rsid w:val="02184A78"/>
    <w:rsid w:val="025C6857"/>
    <w:rsid w:val="02A375A9"/>
    <w:rsid w:val="03712A1B"/>
    <w:rsid w:val="03F30A28"/>
    <w:rsid w:val="04274667"/>
    <w:rsid w:val="0427471C"/>
    <w:rsid w:val="045A341D"/>
    <w:rsid w:val="04874524"/>
    <w:rsid w:val="04D16207"/>
    <w:rsid w:val="050A3ABE"/>
    <w:rsid w:val="052D1D7D"/>
    <w:rsid w:val="053B3C2B"/>
    <w:rsid w:val="05487650"/>
    <w:rsid w:val="061649DD"/>
    <w:rsid w:val="06824757"/>
    <w:rsid w:val="0691088C"/>
    <w:rsid w:val="070461A1"/>
    <w:rsid w:val="074751F2"/>
    <w:rsid w:val="07C2651F"/>
    <w:rsid w:val="081378BC"/>
    <w:rsid w:val="082731E0"/>
    <w:rsid w:val="086606B9"/>
    <w:rsid w:val="086F39F4"/>
    <w:rsid w:val="08A90C41"/>
    <w:rsid w:val="08C21F16"/>
    <w:rsid w:val="08E625C7"/>
    <w:rsid w:val="08E94D9D"/>
    <w:rsid w:val="09180332"/>
    <w:rsid w:val="09275596"/>
    <w:rsid w:val="09292F84"/>
    <w:rsid w:val="09710037"/>
    <w:rsid w:val="097B5390"/>
    <w:rsid w:val="0A1C5AAE"/>
    <w:rsid w:val="0A202272"/>
    <w:rsid w:val="0A25619C"/>
    <w:rsid w:val="0A331CD3"/>
    <w:rsid w:val="0A4225B3"/>
    <w:rsid w:val="0ACC4BF0"/>
    <w:rsid w:val="0B5011BA"/>
    <w:rsid w:val="0BF6702A"/>
    <w:rsid w:val="0BFC633F"/>
    <w:rsid w:val="0C057A28"/>
    <w:rsid w:val="0CA622FE"/>
    <w:rsid w:val="0CC859E4"/>
    <w:rsid w:val="0CD71BDF"/>
    <w:rsid w:val="0CDC1773"/>
    <w:rsid w:val="0D10414C"/>
    <w:rsid w:val="0D4912D3"/>
    <w:rsid w:val="0DFB3C54"/>
    <w:rsid w:val="0E3D7F9C"/>
    <w:rsid w:val="0E9D34E3"/>
    <w:rsid w:val="0ECA59A2"/>
    <w:rsid w:val="0F0A26E3"/>
    <w:rsid w:val="0F525842"/>
    <w:rsid w:val="0F952CF1"/>
    <w:rsid w:val="0FE6751B"/>
    <w:rsid w:val="10B3146D"/>
    <w:rsid w:val="10E73F38"/>
    <w:rsid w:val="113B49EB"/>
    <w:rsid w:val="11F55946"/>
    <w:rsid w:val="12083D25"/>
    <w:rsid w:val="121F00BE"/>
    <w:rsid w:val="124408CB"/>
    <w:rsid w:val="134706A9"/>
    <w:rsid w:val="1369486A"/>
    <w:rsid w:val="137E1092"/>
    <w:rsid w:val="13A10852"/>
    <w:rsid w:val="13D92C3D"/>
    <w:rsid w:val="13EC0405"/>
    <w:rsid w:val="13F76EA1"/>
    <w:rsid w:val="13FE0D24"/>
    <w:rsid w:val="14196D28"/>
    <w:rsid w:val="14251846"/>
    <w:rsid w:val="148F2D53"/>
    <w:rsid w:val="14933D43"/>
    <w:rsid w:val="14A72AFF"/>
    <w:rsid w:val="14EB3053"/>
    <w:rsid w:val="153A712C"/>
    <w:rsid w:val="1560FB07"/>
    <w:rsid w:val="1574426A"/>
    <w:rsid w:val="15AF0477"/>
    <w:rsid w:val="15B11DEB"/>
    <w:rsid w:val="15B7572E"/>
    <w:rsid w:val="15DE3862"/>
    <w:rsid w:val="164B382E"/>
    <w:rsid w:val="16B54BDD"/>
    <w:rsid w:val="17726C0A"/>
    <w:rsid w:val="178A030C"/>
    <w:rsid w:val="17BC2E68"/>
    <w:rsid w:val="17E61892"/>
    <w:rsid w:val="18107527"/>
    <w:rsid w:val="181D7A9C"/>
    <w:rsid w:val="18341D03"/>
    <w:rsid w:val="18451658"/>
    <w:rsid w:val="189C45C3"/>
    <w:rsid w:val="18AB2047"/>
    <w:rsid w:val="18D144D1"/>
    <w:rsid w:val="192D00CA"/>
    <w:rsid w:val="193170BE"/>
    <w:rsid w:val="193E3002"/>
    <w:rsid w:val="19B500F0"/>
    <w:rsid w:val="1A6120A8"/>
    <w:rsid w:val="1A742F4B"/>
    <w:rsid w:val="1A79359E"/>
    <w:rsid w:val="1AB22C02"/>
    <w:rsid w:val="1AC53698"/>
    <w:rsid w:val="1ACF79C5"/>
    <w:rsid w:val="1AD945D3"/>
    <w:rsid w:val="1B0A31EF"/>
    <w:rsid w:val="1B436877"/>
    <w:rsid w:val="1B6764E5"/>
    <w:rsid w:val="1B791E8A"/>
    <w:rsid w:val="1BAF399F"/>
    <w:rsid w:val="1C347D99"/>
    <w:rsid w:val="1C50543D"/>
    <w:rsid w:val="1C7726C9"/>
    <w:rsid w:val="1CE42837"/>
    <w:rsid w:val="1D5D6F13"/>
    <w:rsid w:val="1DA85B12"/>
    <w:rsid w:val="1DB9685B"/>
    <w:rsid w:val="1DDC7EB7"/>
    <w:rsid w:val="1DEE5A5F"/>
    <w:rsid w:val="1E127D81"/>
    <w:rsid w:val="1E50EDE2"/>
    <w:rsid w:val="1E72217A"/>
    <w:rsid w:val="1E9D07A0"/>
    <w:rsid w:val="1F427B26"/>
    <w:rsid w:val="1F481585"/>
    <w:rsid w:val="1F5427EA"/>
    <w:rsid w:val="1F605B68"/>
    <w:rsid w:val="1F963C17"/>
    <w:rsid w:val="1F9F12B3"/>
    <w:rsid w:val="1FA064D0"/>
    <w:rsid w:val="1FA814C6"/>
    <w:rsid w:val="1FD2425A"/>
    <w:rsid w:val="1FD87BCB"/>
    <w:rsid w:val="1FFA5815"/>
    <w:rsid w:val="2024290B"/>
    <w:rsid w:val="20E84A80"/>
    <w:rsid w:val="20EC5CA8"/>
    <w:rsid w:val="20F132E5"/>
    <w:rsid w:val="21847B6F"/>
    <w:rsid w:val="21990B6F"/>
    <w:rsid w:val="21C923ED"/>
    <w:rsid w:val="21DC20B7"/>
    <w:rsid w:val="22022866"/>
    <w:rsid w:val="223F7AFE"/>
    <w:rsid w:val="22A37668"/>
    <w:rsid w:val="22B238A8"/>
    <w:rsid w:val="22B65618"/>
    <w:rsid w:val="22D156BE"/>
    <w:rsid w:val="22EA1478"/>
    <w:rsid w:val="23454E7A"/>
    <w:rsid w:val="2352008F"/>
    <w:rsid w:val="237C162A"/>
    <w:rsid w:val="238B33DB"/>
    <w:rsid w:val="23BB10C3"/>
    <w:rsid w:val="23BD09CC"/>
    <w:rsid w:val="24294692"/>
    <w:rsid w:val="246D2856"/>
    <w:rsid w:val="248436B6"/>
    <w:rsid w:val="248C17FC"/>
    <w:rsid w:val="24E36EDE"/>
    <w:rsid w:val="25224A93"/>
    <w:rsid w:val="253C9758"/>
    <w:rsid w:val="259B56BD"/>
    <w:rsid w:val="25CA65E2"/>
    <w:rsid w:val="26171606"/>
    <w:rsid w:val="26200CC4"/>
    <w:rsid w:val="262E23D8"/>
    <w:rsid w:val="26884E4D"/>
    <w:rsid w:val="26CB359D"/>
    <w:rsid w:val="27705D3E"/>
    <w:rsid w:val="27745017"/>
    <w:rsid w:val="27758812"/>
    <w:rsid w:val="27AE7402"/>
    <w:rsid w:val="28080AB5"/>
    <w:rsid w:val="28540BE4"/>
    <w:rsid w:val="285A7071"/>
    <w:rsid w:val="2915088F"/>
    <w:rsid w:val="2969444A"/>
    <w:rsid w:val="29AB03B9"/>
    <w:rsid w:val="29F61C93"/>
    <w:rsid w:val="2A124C1A"/>
    <w:rsid w:val="2A2E21A4"/>
    <w:rsid w:val="2A73663C"/>
    <w:rsid w:val="2A883695"/>
    <w:rsid w:val="2B1E0C31"/>
    <w:rsid w:val="2B9D4652"/>
    <w:rsid w:val="2BC17DB4"/>
    <w:rsid w:val="2BED6637"/>
    <w:rsid w:val="2C27329B"/>
    <w:rsid w:val="2C3C24F5"/>
    <w:rsid w:val="2CAE1E53"/>
    <w:rsid w:val="2CE90E88"/>
    <w:rsid w:val="2D5D52C7"/>
    <w:rsid w:val="2D8C3B24"/>
    <w:rsid w:val="2DA82C3F"/>
    <w:rsid w:val="2DAE1C21"/>
    <w:rsid w:val="2DD8666B"/>
    <w:rsid w:val="2DE3CEB5"/>
    <w:rsid w:val="2E306607"/>
    <w:rsid w:val="2E49396A"/>
    <w:rsid w:val="2E7E1F31"/>
    <w:rsid w:val="2EDB54EC"/>
    <w:rsid w:val="2EF5062C"/>
    <w:rsid w:val="2F0408F8"/>
    <w:rsid w:val="2F22425E"/>
    <w:rsid w:val="2F337AAB"/>
    <w:rsid w:val="2F87716E"/>
    <w:rsid w:val="2FCE35FD"/>
    <w:rsid w:val="302277FE"/>
    <w:rsid w:val="30334CC7"/>
    <w:rsid w:val="308A0A92"/>
    <w:rsid w:val="30DA6987"/>
    <w:rsid w:val="30FE0535"/>
    <w:rsid w:val="31686772"/>
    <w:rsid w:val="319B324A"/>
    <w:rsid w:val="31A36848"/>
    <w:rsid w:val="321964CE"/>
    <w:rsid w:val="326D6CFF"/>
    <w:rsid w:val="329F293C"/>
    <w:rsid w:val="32E842BE"/>
    <w:rsid w:val="335A1C50"/>
    <w:rsid w:val="33BD43F8"/>
    <w:rsid w:val="33E47F35"/>
    <w:rsid w:val="34153B4F"/>
    <w:rsid w:val="345503BF"/>
    <w:rsid w:val="345F0924"/>
    <w:rsid w:val="35484D4C"/>
    <w:rsid w:val="3559491B"/>
    <w:rsid w:val="3565078D"/>
    <w:rsid w:val="35A6397C"/>
    <w:rsid w:val="35D11447"/>
    <w:rsid w:val="35D90FD3"/>
    <w:rsid w:val="35E0749A"/>
    <w:rsid w:val="36023350"/>
    <w:rsid w:val="368E3C14"/>
    <w:rsid w:val="36C72951"/>
    <w:rsid w:val="36CF3E03"/>
    <w:rsid w:val="36D344DE"/>
    <w:rsid w:val="375305CE"/>
    <w:rsid w:val="377140AE"/>
    <w:rsid w:val="37BE7B0B"/>
    <w:rsid w:val="38906E7F"/>
    <w:rsid w:val="38B342C0"/>
    <w:rsid w:val="38BF1637"/>
    <w:rsid w:val="38DC76F7"/>
    <w:rsid w:val="39326A01"/>
    <w:rsid w:val="39AC1A85"/>
    <w:rsid w:val="39D81D4F"/>
    <w:rsid w:val="39F73098"/>
    <w:rsid w:val="3A742E1C"/>
    <w:rsid w:val="3A783942"/>
    <w:rsid w:val="3A92DAB1"/>
    <w:rsid w:val="3AAE2F4E"/>
    <w:rsid w:val="3AB2479E"/>
    <w:rsid w:val="3B723ED8"/>
    <w:rsid w:val="3BFB1E89"/>
    <w:rsid w:val="3C461F3B"/>
    <w:rsid w:val="3C8F18A6"/>
    <w:rsid w:val="3C9D61C8"/>
    <w:rsid w:val="3CAB4BE3"/>
    <w:rsid w:val="3CE428FE"/>
    <w:rsid w:val="3DCA2236"/>
    <w:rsid w:val="3DED373A"/>
    <w:rsid w:val="3DF2732B"/>
    <w:rsid w:val="3E4245BA"/>
    <w:rsid w:val="3E4A3A19"/>
    <w:rsid w:val="3E9D5D4C"/>
    <w:rsid w:val="3F153D40"/>
    <w:rsid w:val="3F3C0AE0"/>
    <w:rsid w:val="3F755260"/>
    <w:rsid w:val="3F9D4417"/>
    <w:rsid w:val="3F9E331F"/>
    <w:rsid w:val="3FD97380"/>
    <w:rsid w:val="401D77F4"/>
    <w:rsid w:val="405013AC"/>
    <w:rsid w:val="40695A5E"/>
    <w:rsid w:val="40B73FAA"/>
    <w:rsid w:val="416A059B"/>
    <w:rsid w:val="4190099A"/>
    <w:rsid w:val="41AD197F"/>
    <w:rsid w:val="41C74FFD"/>
    <w:rsid w:val="41DF522C"/>
    <w:rsid w:val="421306B6"/>
    <w:rsid w:val="422368B7"/>
    <w:rsid w:val="4274102B"/>
    <w:rsid w:val="42776EAB"/>
    <w:rsid w:val="428A566F"/>
    <w:rsid w:val="42CD4A0A"/>
    <w:rsid w:val="42D626F1"/>
    <w:rsid w:val="42E90DDB"/>
    <w:rsid w:val="433443F4"/>
    <w:rsid w:val="437219DC"/>
    <w:rsid w:val="43E75D92"/>
    <w:rsid w:val="4480529E"/>
    <w:rsid w:val="45325B5D"/>
    <w:rsid w:val="453835E4"/>
    <w:rsid w:val="462540E7"/>
    <w:rsid w:val="46445C75"/>
    <w:rsid w:val="46551394"/>
    <w:rsid w:val="46681644"/>
    <w:rsid w:val="478A3DDA"/>
    <w:rsid w:val="47A34DE9"/>
    <w:rsid w:val="47E655CD"/>
    <w:rsid w:val="47FB1C20"/>
    <w:rsid w:val="482743C3"/>
    <w:rsid w:val="48657638"/>
    <w:rsid w:val="48A745CF"/>
    <w:rsid w:val="48C16DE5"/>
    <w:rsid w:val="490E0C1B"/>
    <w:rsid w:val="492E1A15"/>
    <w:rsid w:val="497D31CA"/>
    <w:rsid w:val="4A040D7F"/>
    <w:rsid w:val="4A634273"/>
    <w:rsid w:val="4A777470"/>
    <w:rsid w:val="4A7C189D"/>
    <w:rsid w:val="4B1E2FD4"/>
    <w:rsid w:val="4B7050C8"/>
    <w:rsid w:val="4BAF1BA9"/>
    <w:rsid w:val="4BC01BE8"/>
    <w:rsid w:val="4BD934E5"/>
    <w:rsid w:val="4C242472"/>
    <w:rsid w:val="4C4E1046"/>
    <w:rsid w:val="4C7A6E40"/>
    <w:rsid w:val="4CA75DB4"/>
    <w:rsid w:val="4CDA2AA4"/>
    <w:rsid w:val="4CDC758C"/>
    <w:rsid w:val="4D417CAC"/>
    <w:rsid w:val="4D72797C"/>
    <w:rsid w:val="4DAA4B5E"/>
    <w:rsid w:val="4DB64C23"/>
    <w:rsid w:val="4DCF186D"/>
    <w:rsid w:val="4DF3572C"/>
    <w:rsid w:val="4DFF24A1"/>
    <w:rsid w:val="4E312380"/>
    <w:rsid w:val="4E3D6186"/>
    <w:rsid w:val="4E877E1A"/>
    <w:rsid w:val="4E8E6CB6"/>
    <w:rsid w:val="4ED21371"/>
    <w:rsid w:val="4F14162B"/>
    <w:rsid w:val="4F5237D6"/>
    <w:rsid w:val="4F654B13"/>
    <w:rsid w:val="4FA622B7"/>
    <w:rsid w:val="4FC95F53"/>
    <w:rsid w:val="4FE02382"/>
    <w:rsid w:val="506C03ED"/>
    <w:rsid w:val="507B6B0F"/>
    <w:rsid w:val="50824089"/>
    <w:rsid w:val="50D67C20"/>
    <w:rsid w:val="514053C8"/>
    <w:rsid w:val="51450BF1"/>
    <w:rsid w:val="51495FCD"/>
    <w:rsid w:val="517B65F4"/>
    <w:rsid w:val="51E258D9"/>
    <w:rsid w:val="51E80C62"/>
    <w:rsid w:val="52307465"/>
    <w:rsid w:val="527878B6"/>
    <w:rsid w:val="529A5662"/>
    <w:rsid w:val="52E373ED"/>
    <w:rsid w:val="532D22CC"/>
    <w:rsid w:val="53C80D43"/>
    <w:rsid w:val="53DE5A66"/>
    <w:rsid w:val="54377408"/>
    <w:rsid w:val="54A659B2"/>
    <w:rsid w:val="55203735"/>
    <w:rsid w:val="552D7FFF"/>
    <w:rsid w:val="55302CBE"/>
    <w:rsid w:val="55AC48BC"/>
    <w:rsid w:val="55D31D71"/>
    <w:rsid w:val="55EE1619"/>
    <w:rsid w:val="55F618C3"/>
    <w:rsid w:val="56624D55"/>
    <w:rsid w:val="567A5C1D"/>
    <w:rsid w:val="568B7404"/>
    <w:rsid w:val="569E53EE"/>
    <w:rsid w:val="56A42232"/>
    <w:rsid w:val="56FC18F7"/>
    <w:rsid w:val="571FD346"/>
    <w:rsid w:val="57321A47"/>
    <w:rsid w:val="57331A71"/>
    <w:rsid w:val="5733726C"/>
    <w:rsid w:val="574417EB"/>
    <w:rsid w:val="57BF12BF"/>
    <w:rsid w:val="57CB655E"/>
    <w:rsid w:val="589B6347"/>
    <w:rsid w:val="58BE1878"/>
    <w:rsid w:val="58E648FD"/>
    <w:rsid w:val="59500099"/>
    <w:rsid w:val="59F55A90"/>
    <w:rsid w:val="5A461B2C"/>
    <w:rsid w:val="5A6302EE"/>
    <w:rsid w:val="5A703BBA"/>
    <w:rsid w:val="5ACC277D"/>
    <w:rsid w:val="5AD67580"/>
    <w:rsid w:val="5AE23893"/>
    <w:rsid w:val="5B0D6FE6"/>
    <w:rsid w:val="5B212AC6"/>
    <w:rsid w:val="5B74542C"/>
    <w:rsid w:val="5BA93A5F"/>
    <w:rsid w:val="5BFE2962"/>
    <w:rsid w:val="5C0676F6"/>
    <w:rsid w:val="5C1255EB"/>
    <w:rsid w:val="5C141388"/>
    <w:rsid w:val="5C284855"/>
    <w:rsid w:val="5C3C7B06"/>
    <w:rsid w:val="5C6C3AD6"/>
    <w:rsid w:val="5CEC09DA"/>
    <w:rsid w:val="5D374D6B"/>
    <w:rsid w:val="5D943326"/>
    <w:rsid w:val="5E2E4FD3"/>
    <w:rsid w:val="5E302844"/>
    <w:rsid w:val="5E51063C"/>
    <w:rsid w:val="5E6B383C"/>
    <w:rsid w:val="5E7310EA"/>
    <w:rsid w:val="5E791814"/>
    <w:rsid w:val="5E9F7B72"/>
    <w:rsid w:val="5EB650D8"/>
    <w:rsid w:val="5F176D2B"/>
    <w:rsid w:val="5F3C4218"/>
    <w:rsid w:val="5FB012AE"/>
    <w:rsid w:val="5FD82EFB"/>
    <w:rsid w:val="5FEC1104"/>
    <w:rsid w:val="5FF47D7E"/>
    <w:rsid w:val="600618E1"/>
    <w:rsid w:val="602A28C0"/>
    <w:rsid w:val="604413C2"/>
    <w:rsid w:val="604B0947"/>
    <w:rsid w:val="60547992"/>
    <w:rsid w:val="60562F28"/>
    <w:rsid w:val="60AF4F57"/>
    <w:rsid w:val="60C54321"/>
    <w:rsid w:val="60E064A1"/>
    <w:rsid w:val="61667033"/>
    <w:rsid w:val="619B7C32"/>
    <w:rsid w:val="620B0BC6"/>
    <w:rsid w:val="621F4B1A"/>
    <w:rsid w:val="62591281"/>
    <w:rsid w:val="626F4D0D"/>
    <w:rsid w:val="62713884"/>
    <w:rsid w:val="63140CB4"/>
    <w:rsid w:val="637D70FB"/>
    <w:rsid w:val="63803C66"/>
    <w:rsid w:val="638A16A1"/>
    <w:rsid w:val="63B04A0C"/>
    <w:rsid w:val="63D675AF"/>
    <w:rsid w:val="63D74F2D"/>
    <w:rsid w:val="64485CF7"/>
    <w:rsid w:val="65173628"/>
    <w:rsid w:val="655B064E"/>
    <w:rsid w:val="657906A4"/>
    <w:rsid w:val="65A94C81"/>
    <w:rsid w:val="65BE3FAE"/>
    <w:rsid w:val="65DD527D"/>
    <w:rsid w:val="668A49FF"/>
    <w:rsid w:val="66B5444E"/>
    <w:rsid w:val="66DA3A1A"/>
    <w:rsid w:val="673F4332"/>
    <w:rsid w:val="6763282D"/>
    <w:rsid w:val="67F15775"/>
    <w:rsid w:val="68014FCC"/>
    <w:rsid w:val="68426C13"/>
    <w:rsid w:val="68807D84"/>
    <w:rsid w:val="689A1CDC"/>
    <w:rsid w:val="68C350F9"/>
    <w:rsid w:val="68C45EB7"/>
    <w:rsid w:val="68DC03FF"/>
    <w:rsid w:val="69047CAA"/>
    <w:rsid w:val="69382E6E"/>
    <w:rsid w:val="69BE3184"/>
    <w:rsid w:val="6A145673"/>
    <w:rsid w:val="6A413A53"/>
    <w:rsid w:val="6A6447B6"/>
    <w:rsid w:val="6B4E4701"/>
    <w:rsid w:val="6B8E14F1"/>
    <w:rsid w:val="6B9C5D34"/>
    <w:rsid w:val="6BBB721B"/>
    <w:rsid w:val="6BE80970"/>
    <w:rsid w:val="6C1D7542"/>
    <w:rsid w:val="6C2217D6"/>
    <w:rsid w:val="6C3A7E09"/>
    <w:rsid w:val="6C8A5798"/>
    <w:rsid w:val="6C8C0B70"/>
    <w:rsid w:val="6CA21396"/>
    <w:rsid w:val="6CD60B41"/>
    <w:rsid w:val="6D41697E"/>
    <w:rsid w:val="6D5D727E"/>
    <w:rsid w:val="6D6315C7"/>
    <w:rsid w:val="6D7F6BA4"/>
    <w:rsid w:val="6D9D41E6"/>
    <w:rsid w:val="6DBB1EDF"/>
    <w:rsid w:val="6E197745"/>
    <w:rsid w:val="6E3D24B3"/>
    <w:rsid w:val="6EFF7476"/>
    <w:rsid w:val="6F8E0767"/>
    <w:rsid w:val="6FAE0501"/>
    <w:rsid w:val="703164BF"/>
    <w:rsid w:val="704D1FDE"/>
    <w:rsid w:val="705B39CF"/>
    <w:rsid w:val="707D1CF9"/>
    <w:rsid w:val="71025F53"/>
    <w:rsid w:val="714321B9"/>
    <w:rsid w:val="715F2799"/>
    <w:rsid w:val="7186D6C8"/>
    <w:rsid w:val="719B68C5"/>
    <w:rsid w:val="71D46F7E"/>
    <w:rsid w:val="720D354B"/>
    <w:rsid w:val="72307C47"/>
    <w:rsid w:val="729A5B2C"/>
    <w:rsid w:val="72FC2A03"/>
    <w:rsid w:val="73191051"/>
    <w:rsid w:val="73592CF9"/>
    <w:rsid w:val="73D873D4"/>
    <w:rsid w:val="73F51EFD"/>
    <w:rsid w:val="743230CE"/>
    <w:rsid w:val="7492740F"/>
    <w:rsid w:val="74C11F93"/>
    <w:rsid w:val="74C415A5"/>
    <w:rsid w:val="74EA254B"/>
    <w:rsid w:val="750A178C"/>
    <w:rsid w:val="75192EEB"/>
    <w:rsid w:val="753973EE"/>
    <w:rsid w:val="75724F94"/>
    <w:rsid w:val="757D2345"/>
    <w:rsid w:val="759D1E4D"/>
    <w:rsid w:val="75D21F91"/>
    <w:rsid w:val="75D848EC"/>
    <w:rsid w:val="760160F6"/>
    <w:rsid w:val="77022722"/>
    <w:rsid w:val="77381CC2"/>
    <w:rsid w:val="77B52227"/>
    <w:rsid w:val="77EA3AB4"/>
    <w:rsid w:val="78482469"/>
    <w:rsid w:val="788C489D"/>
    <w:rsid w:val="78AE27E0"/>
    <w:rsid w:val="78B80687"/>
    <w:rsid w:val="78E13DC2"/>
    <w:rsid w:val="790179F6"/>
    <w:rsid w:val="794406F3"/>
    <w:rsid w:val="79AC1DBD"/>
    <w:rsid w:val="79BF04F4"/>
    <w:rsid w:val="7A514F38"/>
    <w:rsid w:val="7A692E5B"/>
    <w:rsid w:val="7A693EDE"/>
    <w:rsid w:val="7AD0472A"/>
    <w:rsid w:val="7B9474A8"/>
    <w:rsid w:val="7BBE1CC6"/>
    <w:rsid w:val="7BD52792"/>
    <w:rsid w:val="7BE0484E"/>
    <w:rsid w:val="7BFD27C4"/>
    <w:rsid w:val="7C8F2EA7"/>
    <w:rsid w:val="7CA619E9"/>
    <w:rsid w:val="7CD05932"/>
    <w:rsid w:val="7CF73CDE"/>
    <w:rsid w:val="7D021452"/>
    <w:rsid w:val="7D462EED"/>
    <w:rsid w:val="7D7374D2"/>
    <w:rsid w:val="7DED1C1B"/>
    <w:rsid w:val="7E39438F"/>
    <w:rsid w:val="7E415FCB"/>
    <w:rsid w:val="7E64134E"/>
    <w:rsid w:val="7EBF2A6C"/>
    <w:rsid w:val="7F2561DE"/>
    <w:rsid w:val="7F2C0C28"/>
    <w:rsid w:val="7F4E14CC"/>
    <w:rsid w:val="7F833B3C"/>
    <w:rsid w:val="7FBD741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6B4756-E4F8-4C0A-96E9-821A8D2A1A91}">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2</TotalTime>
  <ScaleCrop>false</ScaleCrop>
  <LinksUpToDate>false</LinksUpToDate>
  <CharactersWithSpaces>10323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2023-05-12T04:57:56Z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2052-11.8.2.10229</vt:lpwstr>
  </property>
</Properties>
</file>